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textAlignment w:val="baseline"/>
        <w:rPr>
          <w:rFonts w:ascii="Calibri" w:hAnsi="Calibri" w:cs="Calibri Light"/>
          <w:b/>
          <w:b/>
          <w:bCs/>
          <w:iCs/>
          <w:sz w:val="28"/>
          <w:szCs w:val="28"/>
          <w:lang w:eastAsia="zh-CN"/>
        </w:rPr>
      </w:pPr>
      <w:r>
        <w:rPr>
          <w:rFonts w:cs="Calibri Light" w:ascii="Calibri" w:hAnsi="Calibri"/>
          <w:b/>
          <w:bCs/>
          <w:iCs/>
          <w:sz w:val="28"/>
          <w:szCs w:val="28"/>
          <w:lang w:eastAsia="zh-CN"/>
        </w:rPr>
      </w:r>
    </w:p>
    <w:p>
      <w:pPr>
        <w:pStyle w:val="Normal"/>
        <w:suppressAutoHyphens w:val="true"/>
        <w:jc w:val="center"/>
        <w:textAlignment w:val="baseline"/>
        <w:rPr>
          <w:rFonts w:ascii="Calibri" w:hAnsi="Calibri" w:cs="Calibri Light"/>
          <w:b/>
          <w:b/>
          <w:bCs/>
          <w:iCs/>
          <w:sz w:val="28"/>
          <w:szCs w:val="28"/>
          <w:lang w:eastAsia="zh-CN"/>
        </w:rPr>
      </w:pPr>
      <w:r>
        <w:rPr>
          <w:rFonts w:cs="Calibri Light" w:ascii="Calibri" w:hAnsi="Calibri"/>
          <w:b/>
          <w:bCs/>
          <w:iCs/>
          <w:sz w:val="28"/>
          <w:szCs w:val="28"/>
          <w:lang w:eastAsia="zh-CN"/>
        </w:rPr>
        <w:t>PATTO DI INTEGRITÀ</w:t>
      </w:r>
    </w:p>
    <w:p>
      <w:pPr>
        <w:pStyle w:val="Normal"/>
        <w:suppressAutoHyphens w:val="true"/>
        <w:jc w:val="both"/>
        <w:textAlignment w:val="baseline"/>
        <w:rPr/>
      </w:pPr>
      <w:r>
        <w:rPr>
          <w:rFonts w:cs="Calibri Light" w:ascii="Calibri" w:hAnsi="Calibri"/>
          <w:bCs/>
          <w:iCs/>
          <w:lang w:eastAsia="zh-CN"/>
        </w:rPr>
        <w:t>Relativo all’Avviso pubblico per la selezione di progetti sperimentali in ambito nazionale in materia di prevenzione delle tossicodipendenze di cui al fondo per la prevenzione della dipendenza</w:t>
      </w:r>
      <w:r>
        <w:rPr>
          <w:rFonts w:cs="Calibri Light" w:ascii="Calibri" w:hAnsi="Calibri"/>
          <w:bCs/>
          <w:iCs/>
          <w:sz w:val="28"/>
          <w:szCs w:val="28"/>
          <w:lang w:eastAsia="zh-CN"/>
        </w:rPr>
        <w:t xml:space="preserve"> </w:t>
      </w:r>
      <w:r>
        <w:rPr>
          <w:rFonts w:cs="Calibri Light" w:ascii="Calibri" w:hAnsi="Calibri"/>
          <w:bCs/>
          <w:iCs/>
          <w:lang w:eastAsia="zh-CN"/>
        </w:rPr>
        <w:t>da stupefacenti (legge n. 145/2018, art. 1, commi 460,461,462,463 e 464)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TRA</w:t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PlainText"/>
        <w:jc w:val="both"/>
        <w:rPr/>
      </w:pPr>
      <w:r>
        <w:rPr>
          <w:rFonts w:ascii="Calibri" w:hAnsi="Calibri"/>
          <w:sz w:val="24"/>
          <w:szCs w:val="24"/>
        </w:rPr>
        <w:t>la PRESIDENZA DEL CONSIGLIO DEI MINISTRI - Dipartimento per le politiche antidroga (di seguito DPA)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101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85"/>
        <w:gridCol w:w="6302"/>
      </w:tblGrid>
      <w:tr>
        <w:trPr/>
        <w:tc>
          <w:tcPr>
            <w:tcW w:w="10187" w:type="dxa"/>
            <w:gridSpan w:val="2"/>
            <w:tcBorders>
              <w:right w:val="single" w:sz="4" w:space="0" w:color="000000"/>
            </w:tcBorders>
            <w:shd w:fill="auto" w:val="clear"/>
          </w:tcPr>
          <w:p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______________________________________________________________________(di seguito Ente)</w:t>
            </w:r>
          </w:p>
        </w:tc>
      </w:tr>
      <w:tr>
        <w:trPr/>
        <w:tc>
          <w:tcPr>
            <w:tcW w:w="3885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</w:r>
          </w:p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  <w:t xml:space="preserve">Sede legale </w:t>
            </w:r>
            <w:r>
              <w:rPr>
                <w:rFonts w:cs="Calibri Light" w:ascii="Calibri" w:hAnsi="Calibri"/>
                <w:i/>
              </w:rPr>
              <w:t xml:space="preserve">(Comune e Provincia)                                                   </w:t>
            </w:r>
          </w:p>
        </w:tc>
        <w:tc>
          <w:tcPr>
            <w:tcW w:w="630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3885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  <w:t xml:space="preserve">Indirizzo </w:t>
            </w:r>
            <w:r>
              <w:rPr>
                <w:rFonts w:cs="Calibri Light" w:ascii="Calibri" w:hAnsi="Calibri"/>
                <w:i/>
              </w:rPr>
              <w:t>(Via, Numero civico, c.a.p)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</w:r>
          </w:p>
        </w:tc>
      </w:tr>
      <w:tr>
        <w:trPr/>
        <w:tc>
          <w:tcPr>
            <w:tcW w:w="3885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  <w:t>Codice Fiscale/P.IVA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</w:r>
          </w:p>
        </w:tc>
      </w:tr>
      <w:tr>
        <w:trPr/>
        <w:tc>
          <w:tcPr>
            <w:tcW w:w="3885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  <w:t xml:space="preserve">Rappresentata da </w:t>
            </w:r>
            <w:r>
              <w:rPr>
                <w:rFonts w:cs="Calibri Light" w:ascii="Calibri" w:hAnsi="Calibri"/>
                <w:i/>
              </w:rPr>
              <w:t>(Cognome e Nome)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</w:r>
          </w:p>
        </w:tc>
      </w:tr>
      <w:tr>
        <w:trPr/>
        <w:tc>
          <w:tcPr>
            <w:tcW w:w="3885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  <w:t xml:space="preserve">In qualità di </w:t>
            </w:r>
          </w:p>
        </w:tc>
        <w:tc>
          <w:tcPr>
            <w:tcW w:w="6302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 Light"/>
              </w:rPr>
            </w:pPr>
            <w:r>
              <w:rPr>
                <w:rFonts w:cs="Calibri Light" w:ascii="Calibri" w:hAnsi="Calibri"/>
              </w:rPr>
            </w:r>
          </w:p>
        </w:tc>
      </w:tr>
    </w:tbl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VISTO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Legge 6 novembre 2012 n. 190, art. 1, co. 17, recante "Disposizioni per la prevenzione e la repressione della corruzione e dell'illegalità nella pubblica amministrazione";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Piano Nazionale Anticorruzione (P.N.A.) approvato dall'Autorità Nazionale Anticorruzione approvato con delibera n. 831/2016, contenente "Disposizioni per la prevenzione e la repressione della corruzione e dell'illegalità nella pubblica amministrazione"; 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 Legge 6 novembre 2012 n. 190, art. 1, c. 2-bis che prevede la durata triennale e l’aggiornamento annuale del Piano Nazionale Anticorruzione (P.N.A.);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l’Aggiornamento 2017 al Piano Nazionale Anticorruzione (P.N.A.) approvato dall'Autorità Nazionale Anticorruzione con delibera n. 1208/2017; 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l’Aggiornamento 2018 al Piano Nazionale Anticorruzione approvato dall'Autorità Nazionale Anticorruzione con delibera n. 1074/2018;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l’Aggiornamento 2019 al Piano Nazionale Anticorruzione approvato dall'Autorità Nazionale Anticorruzione con delibera n. 1064/2019;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Piano Triennale di Prevenzione della Corruzione (P.T.P.C) 2020-2022 della Presidenza del Consiglio dei Ministri adottato con decreto del Presidente del Consiglio dei Ministri, in data 30 gennaio 2020;</w:t>
      </w:r>
    </w:p>
    <w:p>
      <w:pPr>
        <w:pStyle w:val="PlainText"/>
        <w:numPr>
          <w:ilvl w:val="0"/>
          <w:numId w:val="2"/>
        </w:numPr>
        <w:tabs>
          <w:tab w:val="clear" w:pos="709"/>
          <w:tab w:val="left" w:pos="360" w:leader="none"/>
        </w:tabs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D.P.R. 16 aprile 2013. n. 62 con il quale è stato emanato il "Regolamento recante il codice di comportamento dei dipendenti pubblici". 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SI CONVIENE QUANTO SEGUE</w:t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PlainText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Articolo 1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presente Patto di integrità stabilisce la reciproca formale obbligazione della Presidenza del Consiglio dei Ministri - DPA e dell’Ente partecipante alla procedura di selezione dell’Avviso pubblico in epigrafe, di conformare i propri comportamenti ai principi di lealtà, trasparenza e correttezza, nonché l’espresso impegno anticorruzione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>
      <w:pPr>
        <w:pStyle w:val="PlainText"/>
        <w:spacing w:before="0" w:after="120"/>
        <w:ind w:left="284" w:hanging="0"/>
        <w:jc w:val="center"/>
        <w:rPr/>
      </w:pPr>
      <w:r>
        <w:rPr>
          <w:rFonts w:ascii="Calibri" w:hAnsi="Calibri"/>
          <w:b/>
          <w:sz w:val="24"/>
          <w:szCs w:val="24"/>
        </w:rPr>
        <w:t>Articolo 2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Ente si impegna a segnalare alla Presidenza del Consiglio dei Ministri - DPA qualsiasi tentativo di turbativa, irregolarità o distorsione nelle fasi di svolgimento della presente procedura di affidamento, da parte di ogni interessato o addetto o di chiunque possa influenzare le decisioni relative alla procedura in oggetto.</w:t>
      </w:r>
    </w:p>
    <w:p>
      <w:pPr>
        <w:pStyle w:val="PlainText"/>
        <w:spacing w:before="0" w:after="120"/>
        <w:ind w:left="284" w:hanging="0"/>
        <w:jc w:val="center"/>
        <w:rPr/>
      </w:pPr>
      <w:r>
        <w:rPr>
          <w:rFonts w:ascii="Calibri" w:hAnsi="Calibri"/>
          <w:b/>
          <w:sz w:val="24"/>
          <w:szCs w:val="24"/>
        </w:rPr>
        <w:t>Articolo 3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Ente dichiara di non trovarsi in situazioni di controllo o di collegamento (formale e/o sostanziale) con altri concorrenti e che non si è accordato e non si accorderà con altri partecipanti alla procedura di selezione.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spacing w:before="0" w:after="120"/>
        <w:ind w:left="284" w:hanging="0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Articolo 4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Ente si impegna ad informare puntualmente tutto il personale di cui si avvale, del presente Patto di integrità e degli obblighi in esso contenuti. Si impegna, inoltre, a vigilare affinché gli impegni sopra indicati siano osservati da tutti i collaboratori e dipendenti nell'esercizio dei compiti loro assegnati.</w:t>
      </w:r>
    </w:p>
    <w:p>
      <w:pPr>
        <w:pStyle w:val="PlainText"/>
        <w:spacing w:before="0" w:after="120"/>
        <w:ind w:left="284" w:hanging="0"/>
        <w:jc w:val="center"/>
        <w:rPr/>
      </w:pPr>
      <w:r>
        <w:rPr>
          <w:rFonts w:ascii="Calibri" w:hAnsi="Calibri"/>
          <w:b/>
          <w:sz w:val="24"/>
          <w:szCs w:val="24"/>
        </w:rPr>
        <w:t>Articolo 5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Ente si impegna a denunciare alla Pubblica Autorità competente ogni irregolarità o distorsione di cui sia venuto a conoscenza per quanto attiene l'attività di cui all'oggetto della procedura di selezione in oggetto.</w:t>
      </w:r>
    </w:p>
    <w:p>
      <w:pPr>
        <w:pStyle w:val="PlainText"/>
        <w:spacing w:before="0" w:after="120"/>
        <w:ind w:left="284" w:hanging="0"/>
        <w:jc w:val="center"/>
        <w:rPr/>
      </w:pPr>
      <w:r>
        <w:rPr>
          <w:rFonts w:ascii="Calibri" w:hAnsi="Calibri"/>
          <w:b/>
          <w:sz w:val="24"/>
          <w:szCs w:val="24"/>
        </w:rPr>
        <w:t>Articolo 6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sottoscritto Ente accetta, sin d'ora, che nel caso di mancato rispetto degli impegni anticorruzione assunti con il presente Patto di integrità, comunque accertato dall'Amministrazione, potranno essere applicate le seguenti sanzioni: </w:t>
      </w:r>
    </w:p>
    <w:p>
      <w:pPr>
        <w:pStyle w:val="PlainText"/>
        <w:ind w:left="538" w:hanging="1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esclusione del soggetto proponente dalla selezione, se la violazione è accertata nella fase precedente all’ammissione al finanziamento;</w:t>
      </w:r>
    </w:p>
    <w:p>
      <w:pPr>
        <w:pStyle w:val="PlainText"/>
        <w:ind w:left="538" w:hanging="1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revoca dell’ammissione al finanziamento, se la violazione è accertata nella fase successiva all’ammissione stessa, ma precedente alla stipula della Convenzione; </w:t>
      </w:r>
    </w:p>
    <w:p>
      <w:pPr>
        <w:pStyle w:val="PlainText"/>
        <w:spacing w:before="0" w:after="120"/>
        <w:ind w:left="538" w:hanging="18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risoluzione della Convenzione ed escussione della garanzia, se la violazione è accertata nella fase di esecuzione della Convenzione medesima.</w:t>
      </w:r>
    </w:p>
    <w:p>
      <w:pPr>
        <w:pStyle w:val="PlainText"/>
        <w:spacing w:before="0" w:after="120"/>
        <w:ind w:left="538" w:hanging="181"/>
        <w:jc w:val="center"/>
        <w:rPr/>
      </w:pPr>
      <w:r>
        <w:rPr>
          <w:rFonts w:ascii="Calibri" w:hAnsi="Calibri"/>
          <w:b/>
          <w:sz w:val="24"/>
          <w:szCs w:val="24"/>
        </w:rPr>
        <w:t>Articolo 7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 contenuto del Patto di integrità e le relative sanzioni applicabili resteranno in vigore sino alla completa esecuzione della Convenzione. Il presente Patto dovrà essere richiamato dalla Convenzione quale allegato alla stessa onde formarne parte integrante e sostanziale. </w:t>
      </w:r>
    </w:p>
    <w:p>
      <w:pPr>
        <w:pStyle w:val="PlainText"/>
        <w:spacing w:before="0" w:after="120"/>
        <w:ind w:left="284" w:hanging="0"/>
        <w:jc w:val="center"/>
        <w:rPr/>
      </w:pPr>
      <w:r>
        <w:rPr>
          <w:rFonts w:ascii="Calibri" w:hAnsi="Calibri"/>
          <w:b/>
          <w:sz w:val="24"/>
          <w:szCs w:val="24"/>
        </w:rPr>
        <w:t>Articolo 8</w:t>
      </w:r>
    </w:p>
    <w:p>
      <w:pPr>
        <w:pStyle w:val="PlainText"/>
        <w:spacing w:before="0" w:after="120"/>
        <w:ind w:left="284" w:hanging="0"/>
        <w:jc w:val="both"/>
        <w:rPr/>
      </w:pPr>
      <w:r>
        <w:rPr>
          <w:rFonts w:ascii="Calibri" w:hAnsi="Calibri"/>
          <w:sz w:val="24"/>
          <w:szCs w:val="24"/>
        </w:rPr>
        <w:t xml:space="preserve">Il presente Patto deve essere obbligatoriamente sottoscritto dal legale rappresentante dell’Ente partecipante ovvero, in caso di ATS (Associazione Temporanea di Scopo), da ciascun legale </w:t>
      </w:r>
    </w:p>
    <w:p>
      <w:pPr>
        <w:pStyle w:val="PlainText"/>
        <w:spacing w:before="0" w:after="120"/>
        <w:ind w:left="284" w:hanging="0"/>
        <w:jc w:val="both"/>
        <w:rPr/>
      </w:pPr>
      <w:r>
        <w:rPr>
          <w:rFonts w:ascii="Calibri" w:hAnsi="Calibri"/>
          <w:sz w:val="24"/>
          <w:szCs w:val="24"/>
        </w:rPr>
        <w:t xml:space="preserve">rappresentante, e deve essere presentato unitamente alla proposta progettuale. La mancata consegna di tale Patto debitamente sottoscritto comporterà l'esclusione dalla selezione. </w:t>
      </w:r>
    </w:p>
    <w:p>
      <w:pPr>
        <w:pStyle w:val="PlainText"/>
        <w:spacing w:before="0" w:after="120"/>
        <w:ind w:left="284" w:hanging="0"/>
        <w:jc w:val="center"/>
        <w:rPr/>
      </w:pPr>
      <w:r>
        <w:rPr>
          <w:rFonts w:ascii="Calibri" w:hAnsi="Calibri"/>
          <w:b/>
          <w:sz w:val="24"/>
          <w:szCs w:val="24"/>
        </w:rPr>
        <w:t>Articolo 9</w:t>
      </w:r>
    </w:p>
    <w:p>
      <w:pPr>
        <w:pStyle w:val="PlainText"/>
        <w:spacing w:before="0" w:after="120"/>
        <w:ind w:left="284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Ogni controversia relativa all'interpretazione ed esecuzione del Patto d'integrità fra la Presidenza del Consiglio dei Ministri – DPA e l’Ente partecipante sarà risolta dall'Autorità Giudiziaria competente.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996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964"/>
      </w:tblGrid>
      <w:tr>
        <w:trPr>
          <w:trHeight w:val="741" w:hRule="atLeast"/>
        </w:trPr>
        <w:tc>
          <w:tcPr>
            <w:tcW w:w="9964" w:type="dxa"/>
            <w:tcBorders/>
            <w:shd w:fill="auto" w:val="clear"/>
          </w:tcPr>
          <w:p>
            <w:pPr>
              <w:pStyle w:val="Intestazione"/>
              <w:snapToGrid w:val="false"/>
              <w:jc w:val="both"/>
              <w:rPr>
                <w:rFonts w:ascii="Calibri" w:hAnsi="Calibri" w:cs="Calibri Light"/>
                <w:szCs w:val="24"/>
              </w:rPr>
            </w:pPr>
            <w:r>
              <w:rPr>
                <w:rFonts w:cs="Calibri Light" w:ascii="Calibri" w:hAnsi="Calibri"/>
                <w:szCs w:val="24"/>
              </w:rPr>
            </w:r>
          </w:p>
          <w:p>
            <w:pPr>
              <w:pStyle w:val="Intestazione"/>
              <w:ind w:left="284" w:hanging="0"/>
              <w:jc w:val="both"/>
              <w:rPr>
                <w:rFonts w:ascii="Calibri" w:hAnsi="Calibri" w:cs="Calibri Light"/>
                <w:szCs w:val="24"/>
              </w:rPr>
            </w:pPr>
            <w:r>
              <w:rPr>
                <w:rFonts w:cs="Calibri Light" w:ascii="Calibri" w:hAnsi="Calibri"/>
                <w:szCs w:val="24"/>
              </w:rPr>
              <w:t>Data _____________</w:t>
            </w:r>
          </w:p>
          <w:p>
            <w:pPr>
              <w:pStyle w:val="Intestazione"/>
              <w:jc w:val="center"/>
              <w:rPr>
                <w:rFonts w:ascii="Calibri" w:hAnsi="Calibri" w:cs="Calibri Light"/>
                <w:szCs w:val="24"/>
              </w:rPr>
            </w:pPr>
            <w:r>
              <w:rPr>
                <w:rFonts w:cs="Calibri Light" w:ascii="Calibri" w:hAnsi="Calibri"/>
                <w:szCs w:val="24"/>
              </w:rPr>
              <w:t xml:space="preserve">   </w:t>
            </w:r>
          </w:p>
        </w:tc>
      </w:tr>
    </w:tbl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102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5"/>
        <w:gridCol w:w="4965"/>
        <w:gridCol w:w="4592"/>
        <w:gridCol w:w="429"/>
      </w:tblGrid>
      <w:tr>
        <w:trPr/>
        <w:tc>
          <w:tcPr>
            <w:tcW w:w="5200" w:type="dxa"/>
            <w:gridSpan w:val="2"/>
            <w:tcBorders/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Presidenza del Consiglio dei Ministri</w:t>
            </w:r>
          </w:p>
          <w:p>
            <w:pPr>
              <w:pStyle w:val="PlainText"/>
              <w:jc w:val="center"/>
              <w:rPr>
                <w:rFonts w:ascii="Calibri" w:hAnsi="Calibri"/>
                <w:sz w:val="24"/>
                <w:szCs w:val="21"/>
              </w:rPr>
            </w:pPr>
            <w:r>
              <w:rPr>
                <w:rFonts w:ascii="Calibri" w:hAnsi="Calibri"/>
                <w:sz w:val="24"/>
                <w:szCs w:val="21"/>
              </w:rPr>
              <w:t>Dipartimento per le politiche antidroga</w:t>
            </w:r>
          </w:p>
          <w:p>
            <w:pPr>
              <w:pStyle w:val="Plain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021" w:type="dxa"/>
            <w:gridSpan w:val="2"/>
            <w:tcBorders/>
            <w:shd w:fill="auto" w:val="clear"/>
          </w:tcPr>
          <w:p>
            <w:pPr>
              <w:pStyle w:val="PlainTex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Ente</w:t>
            </w:r>
          </w:p>
          <w:p>
            <w:pPr>
              <w:pStyle w:val="PlainTex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Il Legale Rappresentante</w:t>
            </w:r>
          </w:p>
          <w:p>
            <w:pPr>
              <w:pStyle w:val="PlainTex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23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Intestazione"/>
              <w:snapToGrid w:val="false"/>
              <w:jc w:val="right"/>
              <w:rPr>
                <w:rFonts w:ascii="Calibri" w:hAnsi="Calibri" w:cs="Calibri Light"/>
                <w:szCs w:val="24"/>
                <w:lang w:eastAsia="en-US"/>
              </w:rPr>
            </w:pPr>
            <w:r>
              <w:rPr>
                <w:rFonts w:cs="Calibri Light" w:ascii="Calibri" w:hAnsi="Calibri"/>
                <w:szCs w:val="24"/>
                <w:lang w:eastAsia="en-US"/>
              </w:rPr>
            </w:r>
          </w:p>
        </w:tc>
        <w:tc>
          <w:tcPr>
            <w:tcW w:w="4592" w:type="dxa"/>
            <w:tcBorders/>
            <w:shd w:fill="auto" w:val="clear"/>
          </w:tcPr>
          <w:p>
            <w:pPr>
              <w:pStyle w:val="Intestazione"/>
              <w:rPr>
                <w:rFonts w:ascii="Calibri" w:hAnsi="Calibri" w:cs="Calibri Light"/>
                <w:szCs w:val="24"/>
                <w:lang w:eastAsia="en-US"/>
              </w:rPr>
            </w:pPr>
            <w:r>
              <w:rPr>
                <w:rFonts w:cs="Calibri Light" w:ascii="Calibri" w:hAnsi="Calibri"/>
                <w:szCs w:val="24"/>
                <w:lang w:eastAsia="en-US"/>
              </w:rPr>
            </w:r>
          </w:p>
        </w:tc>
        <w:tc>
          <w:tcPr>
            <w:tcW w:w="42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00" w:type="dxa"/>
            <w:gridSpan w:val="2"/>
            <w:tcBorders/>
            <w:shd w:fill="auto" w:val="clear"/>
          </w:tcPr>
          <w:p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021" w:type="dxa"/>
            <w:gridSpan w:val="2"/>
            <w:tcBorders/>
            <w:shd w:fill="auto" w:val="clear"/>
          </w:tcPr>
          <w:p>
            <w:pPr>
              <w:pStyle w:val="PlainText"/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sz w:val="24"/>
                <w:szCs w:val="24"/>
                <w:highlight w:val="yellow"/>
              </w:rPr>
            </w:r>
          </w:p>
          <w:p>
            <w:pPr>
              <w:pStyle w:val="PlainText"/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b/>
          <w:b/>
          <w:highlight w:val="yellow"/>
        </w:rPr>
      </w:pPr>
      <w:r>
        <w:rPr>
          <w:rFonts w:cs="Arial" w:ascii="Calibri" w:hAnsi="Calibri"/>
          <w:b/>
          <w:bCs/>
          <w:i/>
          <w:color w:val="000000"/>
          <w:szCs w:val="16"/>
        </w:rPr>
        <w:t>In caso di ATS deve essere presentata e firmata digitalmente dal legale rappresentante di ciascuno componente.</w:t>
      </w:r>
    </w:p>
    <w:p>
      <w:pPr>
        <w:pStyle w:val="Plain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lainText"/>
        <w:jc w:val="both"/>
        <w:rPr/>
      </w:pPr>
      <w:r>
        <w:rPr>
          <w:rFonts w:ascii="Calibri" w:hAnsi="Calibri"/>
          <w:sz w:val="24"/>
          <w:szCs w:val="24"/>
        </w:rPr>
        <w:tab/>
        <w:tab/>
        <w:tab/>
        <w:tab/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909" w:right="909" w:header="708" w:top="1417" w:footer="26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 Light">
    <w:charset w:val="00"/>
    <w:family w:val="roman"/>
    <w:pitch w:val="variable"/>
  </w:font>
  <w:font w:name="Palatino Linotype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rFonts w:ascii="Calibri" w:hAnsi="Calibri"/>
        <w:sz w:val="20"/>
      </w:rPr>
      <w:fldChar w:fldCharType="begin"/>
    </w:r>
    <w:r>
      <w:rPr>
        <w:sz w:val="20"/>
        <w:rFonts w:ascii="Calibri" w:hAnsi="Calibri"/>
      </w:rPr>
      <w:instrText> PAGE </w:instrText>
    </w:r>
    <w:r>
      <w:rPr>
        <w:sz w:val="20"/>
        <w:rFonts w:ascii="Calibri" w:hAnsi="Calibri"/>
      </w:rPr>
      <w:fldChar w:fldCharType="separate"/>
    </w:r>
    <w:r>
      <w:rPr>
        <w:sz w:val="20"/>
        <w:rFonts w:ascii="Calibri" w:hAnsi="Calibri"/>
      </w:rPr>
      <w:t>4</w:t>
    </w:r>
    <w:r>
      <w:rPr>
        <w:sz w:val="20"/>
        <w:rFonts w:ascii="Calibri" w:hAnsi="Calibri"/>
      </w:rPr>
      <w:fldChar w:fldCharType="end"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Calibri" w:hAnsi="Calibri"/>
        <w:b/>
        <w:b/>
      </w:rPr>
    </w:pPr>
    <w:r>
      <w:rPr>
        <w:rFonts w:ascii="Calibri" w:hAnsi="Calibri"/>
        <w:b/>
        <w:i/>
      </w:rPr>
      <w:t>format</w:t>
    </w:r>
    <w:r>
      <w:rPr>
        <w:rFonts w:ascii="Calibri" w:hAnsi="Calibri"/>
        <w:b/>
      </w:rPr>
      <w:t xml:space="preserve"> B – Patto Integrità</w:t>
    </w:r>
    <w:r>
      <w:rPr>
        <w:rFonts w:ascii="Calibri" w:hAnsi="Calibri"/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Enti privati</w:t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461010</wp:posOffset>
          </wp:positionH>
          <wp:positionV relativeFrom="paragraph">
            <wp:posOffset>52705</wp:posOffset>
          </wp:positionV>
          <wp:extent cx="5347335" cy="1449070"/>
          <wp:effectExtent l="0" t="0" r="0" b="0"/>
          <wp:wrapNone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5347335" cy="144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ind w:left="284" w:hanging="0"/>
      <w:jc w:val="center"/>
      <w:rPr>
        <w:sz w:val="16"/>
      </w:rPr>
    </w:pPr>
    <w:r>
      <w:rPr>
        <w:sz w:val="16"/>
      </w:rPr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>
        <w:rFonts w:ascii="Calibri" w:hAnsi="Calibri" w:cs="Calibri Light"/>
        <w:b/>
        <w:b/>
        <w:sz w:val="28"/>
        <w:szCs w:val="28"/>
      </w:rPr>
    </w:pPr>
    <w:r>
      <w:rPr>
        <w:rFonts w:ascii="Calibri" w:hAnsi="Calibri"/>
        <w:b/>
        <w:sz w:val="24"/>
        <w:szCs w:val="24"/>
      </w:rPr>
      <w:t>DIPARTIMENTO PER LE POLITICHE ANTIDROGA</w:t>
    </w:r>
    <w:r>
      <w:rPr>
        <w:rFonts w:cs="Calibri Light" w:ascii="Calibri" w:hAnsi="Calibri"/>
        <w:b/>
        <w:sz w:val="24"/>
        <w:szCs w:val="24"/>
        <w:highlight w:val="yellow"/>
      </w:rPr>
      <w:t xml:space="preserve"> </w:t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>
        <w:rFonts w:ascii="Calibri" w:hAnsi="Calibri" w:cs="Calibri Light"/>
        <w:b/>
        <w:b/>
      </w:rPr>
    </w:pPr>
    <w:r>
      <w:rPr>
        <w:rFonts w:cs="Calibri Light" w:ascii="Calibri" w:hAnsi="Calibri"/>
        <w:b/>
      </w:rPr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>
        <w:rFonts w:ascii="Calibri" w:hAnsi="Calibri" w:cs="Calibri Light"/>
        <w:b/>
        <w:b/>
      </w:rPr>
    </w:pPr>
    <w:r>
      <w:rPr>
        <w:rFonts w:cs="Calibri Light" w:ascii="Calibri" w:hAnsi="Calibri"/>
        <w:b/>
      </w:rPr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>
        <w:rFonts w:ascii="Calibri" w:hAnsi="Calibri" w:cs="Calibri Light"/>
        <w:b/>
        <w:b/>
      </w:rPr>
    </w:pPr>
    <w:r>
      <w:rPr>
        <w:rFonts w:cs="Calibri Light" w:ascii="Calibri" w:hAnsi="Calibri"/>
        <w:b/>
      </w:rPr>
      <w:t>AVVISO PUBBLICO</w:t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/>
    </w:pPr>
    <w:r>
      <w:rPr>
        <w:rFonts w:cs="Calibri Light" w:ascii="Calibri" w:hAnsi="Calibri"/>
        <w:b/>
      </w:rPr>
      <w:t xml:space="preserve">PER LA SELEZIONE DI PROGETTI SPERIMENTALI IN AMBITO NAZIONALE </w:t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/>
    </w:pPr>
    <w:r>
      <w:rPr>
        <w:rFonts w:cs="Calibri Light" w:ascii="Calibri" w:hAnsi="Calibri"/>
        <w:b/>
      </w:rPr>
      <w:t xml:space="preserve">IN MATERIA DI PREVENZIONE DELLE TOSSICODIPENDENZE </w:t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/>
    </w:pPr>
    <w:r>
      <w:rPr>
        <w:rFonts w:cs="Calibri Light" w:ascii="Calibri" w:hAnsi="Calibri"/>
        <w:b/>
      </w:rPr>
      <w:t xml:space="preserve">DI CUI AL  FONDO PER LA PREVENZIONE DELLA DIPENDENZA DA STUPEFACENTI </w:t>
    </w:r>
  </w:p>
  <w:p>
    <w:pPr>
      <w:pStyle w:val="Intestazione"/>
      <w:tabs>
        <w:tab w:val="left" w:pos="0" w:leader="none"/>
        <w:tab w:val="left" w:pos="1418" w:leader="none"/>
        <w:tab w:val="center" w:pos="4819" w:leader="none"/>
        <w:tab w:val="right" w:pos="9638" w:leader="none"/>
      </w:tabs>
      <w:jc w:val="center"/>
      <w:rPr>
        <w:rFonts w:ascii="Calibri" w:hAnsi="Calibri" w:cs="Calibri Light"/>
        <w:b/>
        <w:b/>
      </w:rPr>
    </w:pPr>
    <w:r>
      <w:rPr>
        <w:rFonts w:cs="Calibri Light" w:ascii="Calibri" w:hAnsi="Calibri"/>
        <w:b/>
      </w:rPr>
      <w:t>(LEGGE N. 145/2018, ART. 1, COMMI 460,461,462,463 E 464)</w:t>
    </w:r>
  </w:p>
  <w:p>
    <w:pPr>
      <w:pStyle w:val="Intestazione"/>
      <w:rPr>
        <w:rFonts w:ascii="Calibri" w:hAnsi="Calibri"/>
        <w:b/>
        <w:b/>
        <w:sz w:val="28"/>
        <w:szCs w:val="28"/>
        <w:u w:val="single"/>
      </w:rPr>
    </w:pPr>
    <w:r>
      <w:rPr>
        <w:rFonts w:ascii="Calibri" w:hAnsi="Calibri"/>
        <w:b/>
        <w:sz w:val="28"/>
        <w:szCs w:val="28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4"/>
        <w:rFonts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Heading1Char"/>
    <w:uiPriority w:val="99"/>
    <w:qFormat/>
    <w:locked/>
    <w:pPr>
      <w:keepNext w:val="true"/>
      <w:keepLines/>
      <w:suppressAutoHyphens w:val="true"/>
      <w:spacing w:before="240" w:after="0"/>
      <w:textAlignment w:val="baseline"/>
      <w:outlineLvl w:val="0"/>
    </w:pPr>
    <w:rPr>
      <w:rFonts w:ascii="Calibri Light" w:hAnsi="Calibri Light"/>
      <w:color w:val="2E74B5"/>
      <w:sz w:val="32"/>
      <w:szCs w:val="20"/>
      <w:lang w:eastAsia="zh-CN"/>
    </w:rPr>
  </w:style>
  <w:style w:type="paragraph" w:styleId="Titolo6">
    <w:name w:val="Heading 6"/>
    <w:basedOn w:val="Normal"/>
    <w:next w:val="Normal"/>
    <w:qFormat/>
    <w:pPr>
      <w:keepNext w:val="true"/>
      <w:outlineLvl w:val="5"/>
    </w:pPr>
    <w:rPr>
      <w:rFonts w:ascii="Palatino Linotype" w:hAnsi="Palatino Linotype" w:eastAsia="Calibri"/>
      <w:i/>
      <w:i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libri Light" w:hAnsi="Calibri Light"/>
      <w:color w:val="2E74B5"/>
      <w:sz w:val="32"/>
      <w:lang w:val="it-IT" w:eastAsia="zh-CN"/>
    </w:rPr>
  </w:style>
  <w:style w:type="character" w:styleId="PlainTextChar" w:customStyle="1">
    <w:name w:val="Plain Text Char"/>
    <w:link w:val="PlainText"/>
    <w:uiPriority w:val="99"/>
    <w:qFormat/>
    <w:locked/>
    <w:rPr>
      <w:rFonts w:ascii="Courier" w:hAnsi="Courier"/>
      <w:sz w:val="21"/>
    </w:rPr>
  </w:style>
  <w:style w:type="character" w:styleId="HeaderChar" w:customStyle="1">
    <w:name w:val="Header Char"/>
    <w:link w:val="Header"/>
    <w:uiPriority w:val="99"/>
    <w:qFormat/>
    <w:locked/>
    <w:rPr>
      <w:rFonts w:ascii="Cambria" w:hAnsi="Cambria" w:eastAsia="MS Mincho"/>
      <w:sz w:val="24"/>
      <w:lang w:val="it-IT" w:eastAsia="it-IT"/>
    </w:rPr>
  </w:style>
  <w:style w:type="character" w:styleId="FooterChar" w:customStyle="1">
    <w:name w:val="Footer Char"/>
    <w:link w:val="Footer"/>
    <w:uiPriority w:val="99"/>
    <w:qFormat/>
    <w:locked/>
    <w:rPr>
      <w:sz w:val="24"/>
    </w:rPr>
  </w:style>
  <w:style w:type="character" w:styleId="FootnoteTextChar" w:customStyle="1">
    <w:name w:val="Footnote Text Char"/>
    <w:link w:val="FootnoteText"/>
    <w:uiPriority w:val="99"/>
    <w:semiHidden/>
    <w:qFormat/>
    <w:locked/>
    <w:rPr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qFormat/>
    <w:rsid w:val="00a1564d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a1564d"/>
    <w:rPr>
      <w:sz w:val="24"/>
      <w:szCs w:val="24"/>
    </w:rPr>
  </w:style>
  <w:style w:type="character" w:styleId="PlainTextChar1" w:customStyle="1">
    <w:name w:val="Plain Text Char1"/>
    <w:basedOn w:val="DefaultParagraphFont"/>
    <w:link w:val="PlainText"/>
    <w:uiPriority w:val="99"/>
    <w:semiHidden/>
    <w:qFormat/>
    <w:rsid w:val="00a1564d"/>
    <w:rPr>
      <w:rFonts w:ascii="Courier New" w:hAnsi="Courier New" w:cs="Courier New"/>
      <w:sz w:val="20"/>
      <w:szCs w:val="20"/>
    </w:rPr>
  </w:style>
  <w:style w:type="character" w:styleId="HeaderChar1" w:customStyle="1">
    <w:name w:val="Header Char1"/>
    <w:basedOn w:val="DefaultParagraphFont"/>
    <w:link w:val="Header"/>
    <w:uiPriority w:val="99"/>
    <w:semiHidden/>
    <w:qFormat/>
    <w:rsid w:val="00a1564d"/>
    <w:rPr>
      <w:sz w:val="24"/>
      <w:szCs w:val="24"/>
    </w:rPr>
  </w:style>
  <w:style w:type="character" w:styleId="FooterChar1" w:customStyle="1">
    <w:name w:val="Footer Char1"/>
    <w:basedOn w:val="DefaultParagraphFont"/>
    <w:link w:val="Footer"/>
    <w:uiPriority w:val="99"/>
    <w:semiHidden/>
    <w:qFormat/>
    <w:rsid w:val="00a1564d"/>
    <w:rPr>
      <w:sz w:val="24"/>
      <w:szCs w:val="24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a1564d"/>
    <w:rPr>
      <w:sz w:val="20"/>
      <w:szCs w:val="20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a1564d"/>
    <w:rPr>
      <w:rFonts w:ascii="Times New Roman" w:hAnsi="Times New Roman"/>
      <w:sz w:val="0"/>
      <w:szCs w:val="0"/>
    </w:rPr>
  </w:style>
  <w:style w:type="character" w:styleId="CommentSubjectChar1">
    <w:name w:val="Comment Subject Char1"/>
    <w:basedOn w:val="CommentTextChar"/>
    <w:qFormat/>
    <w:rPr>
      <w:rFonts w:ascii="Times New Roman" w:hAnsi="Times New Roman" w:eastAsia="Times New Roman"/>
      <w:b/>
      <w:bCs/>
      <w:szCs w:val="20"/>
      <w:lang w:eastAsia="zh-CN"/>
    </w:rPr>
  </w:style>
  <w:style w:type="character" w:styleId="CommentTextChar1">
    <w:name w:val="Comment Text Char1"/>
    <w:basedOn w:val="DefaultParagraphFont"/>
    <w:qFormat/>
    <w:rPr>
      <w:rFonts w:ascii="Times New Roman" w:hAnsi="Times New Roman" w:eastAsia="Times New Roman"/>
      <w:sz w:val="20"/>
      <w:szCs w:val="20"/>
      <w:lang w:eastAsia="zh-CN"/>
    </w:rPr>
  </w:style>
  <w:style w:type="character" w:styleId="Caratterinotadichiusura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ListNumberChar">
    <w:name w:val="List Number Char"/>
    <w:qFormat/>
    <w:rPr>
      <w:rFonts w:ascii="Trebuchet MS" w:hAnsi="Trebuchet MS"/>
      <w:kern w:val="2"/>
      <w:sz w:val="24"/>
    </w:rPr>
  </w:style>
  <w:style w:type="character" w:styleId="FootnoteCharacters">
    <w:name w:val="Footnote Characters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CommentSubjectChar">
    <w:name w:val="Comment Subject Char"/>
    <w:qFormat/>
    <w:rPr>
      <w:b/>
      <w:sz w:val="20"/>
    </w:rPr>
  </w:style>
  <w:style w:type="character" w:styleId="CommentTextChar">
    <w:name w:val="Comment Text Char"/>
    <w:qFormat/>
    <w:rPr>
      <w:sz w:val="20"/>
    </w:rPr>
  </w:style>
  <w:style w:type="character" w:styleId="Annotationreference">
    <w:name w:val="annotation reference"/>
    <w:basedOn w:val="DefaultParagraphFont"/>
    <w:qFormat/>
    <w:rPr>
      <w:rFonts w:cs="Times New Roman"/>
      <w:sz w:val="16"/>
    </w:rPr>
  </w:style>
  <w:style w:type="character" w:styleId="CollegamentoInternet">
    <w:name w:val="Collegamento Internet"/>
    <w:rPr>
      <w:color w:val="0563C1"/>
      <w:u w:val="single"/>
    </w:rPr>
  </w:style>
  <w:style w:type="character" w:styleId="Heading6Char">
    <w:name w:val="Heading 6 Char"/>
    <w:basedOn w:val="DefaultParagraphFont"/>
    <w:qFormat/>
    <w:rPr>
      <w:rFonts w:ascii="Palatino Linotype" w:hAnsi="Palatino Linotype"/>
      <w:i/>
      <w:iCs/>
      <w:sz w:val="20"/>
      <w:szCs w:val="20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c50cc2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c50cc2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c50cc2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c50cc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uiPriority w:val="99"/>
    <w:qFormat/>
    <w:rsid w:val="00c50cc2"/>
    <w:pPr>
      <w:suppressLineNumbers/>
      <w:spacing w:before="120" w:after="120"/>
    </w:pPr>
    <w:rPr>
      <w:rFonts w:cs="Arial"/>
      <w:i/>
      <w:iCs/>
    </w:rPr>
  </w:style>
  <w:style w:type="paragraph" w:styleId="PlainText">
    <w:name w:val="Plain Text"/>
    <w:basedOn w:val="Normal"/>
    <w:link w:val="PlainTextChar"/>
    <w:uiPriority w:val="99"/>
    <w:qFormat/>
    <w:pPr/>
    <w:rPr>
      <w:rFonts w:ascii="Courier" w:hAnsi="Courier"/>
      <w:sz w:val="21"/>
      <w:szCs w:val="20"/>
    </w:rPr>
  </w:style>
  <w:style w:type="paragraph" w:styleId="Intestazioneepidipagina" w:customStyle="1">
    <w:name w:val="Intestazione e piè di pagina"/>
    <w:basedOn w:val="Normal"/>
    <w:uiPriority w:val="99"/>
    <w:qFormat/>
    <w:rsid w:val="00c50cc2"/>
    <w:pPr/>
    <w:rPr/>
  </w:style>
  <w:style w:type="paragraph" w:styleId="Intestazione">
    <w:name w:val="Header"/>
    <w:basedOn w:val="Normal"/>
    <w:link w:val="HeaderChar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0"/>
    </w:rPr>
  </w:style>
  <w:style w:type="paragraph" w:styleId="Pidipagina">
    <w:name w:val="Footer"/>
    <w:basedOn w:val="Normal"/>
    <w:link w:val="FooterChar"/>
    <w:uiPriority w:val="99"/>
    <w:pPr>
      <w:tabs>
        <w:tab w:val="clear" w:pos="709"/>
        <w:tab w:val="center" w:pos="4819" w:leader="none"/>
        <w:tab w:val="right" w:pos="9638" w:leader="none"/>
      </w:tabs>
    </w:pPr>
    <w:rPr>
      <w:szCs w:val="20"/>
    </w:rPr>
  </w:style>
  <w:style w:type="paragraph" w:styleId="Notaapidipagina">
    <w:name w:val="Footnote Text"/>
    <w:basedOn w:val="Normal"/>
    <w:link w:val="FootnoteTextChar"/>
    <w:uiPriority w:val="99"/>
    <w:semiHidden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pPr>
      <w:widowControl w:val="false"/>
      <w:suppressAutoHyphens w:val="false"/>
      <w:overflowPunct w:val="true"/>
      <w:spacing w:lineRule="exact" w:line="300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paragraph" w:styleId="Testocommento1">
    <w:name w:val="Testo commento1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rFonts w:ascii="Calibri" w:hAnsi="Calibri" w:eastAsia="Calibri"/>
      <w:lang w:eastAsia="it-IT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en-US" w:eastAsia="en-US" w:bidi="ar-SA"/>
    </w:rPr>
  </w:style>
  <w:style w:type="paragraph" w:styleId="Indice1">
    <w:name w:val="TOC 1"/>
    <w:basedOn w:val="Normal"/>
    <w:next w:val="Normal"/>
    <w:pPr>
      <w:spacing w:before="0" w:after="100"/>
    </w:pPr>
    <w:rPr/>
  </w:style>
  <w:style w:type="paragraph" w:styleId="TOCHeading">
    <w:name w:val="TOC Heading"/>
    <w:basedOn w:val="Titolo1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Application>LibreOffice/6.3.3.2$Windows_X86_64 LibreOffice_project/a64200df03143b798afd1ec74a12ab50359878ed</Application>
  <Pages>4</Pages>
  <Words>816</Words>
  <Characters>5121</Characters>
  <CharactersWithSpaces>5948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2020-03-17T18:09:00Z</dcterms:created>
  <dc:creator>BXT</dc:creator>
  <dc:description/>
  <dc:language>it-IT</dc:language>
  <cp:lastModifiedBy/>
  <dcterms:modified xsi:type="dcterms:W3CDTF">2020-05-16T12:31:33Z</dcterms:modified>
  <cp:revision>14</cp:revision>
  <dc:subject/>
  <dc:title>PATTO DI INTEGRITÀ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